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eastAsia="Georgia" w:cs="Georgia"/>
          <w:b/>
          <w:bCs/>
          <w:sz w:val="24"/>
          <w:szCs w:val="24"/>
        </w:rPr>
      </w:r>
      <w:r>
        <w:rPr>
          <w:rFonts w:ascii="Georgia" w:hAnsi="Georgia" w:eastAsia="Georgia" w:cs="Georgia"/>
          <w:b/>
          <w:bCs/>
          <w:sz w:val="24"/>
          <w:szCs w:val="24"/>
        </w:rPr>
        <w:t xml:space="preserve">МЕРЫ ПРОТИВОДЕЙСТВИЯ РАСПРОСТРАНЕНИЮ ДЕСТРУКТИВНЫХ ИДЕЙ СРЕДИ НЕСОВЕРШЕННОЛЕТНИХ</w:t>
      </w:r>
      <w:r>
        <w:rPr>
          <w:rFonts w:ascii="Georgia" w:hAnsi="Georgia" w:eastAsia="Georgia" w:cs="Georgia"/>
          <w:b/>
          <w:bCs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 формирование чувства неприятия насилия как такового в любом его проявлении;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формирование негативного образа и эмоционального неприятия экстремистских формирований и их лиде</w:t>
      </w:r>
      <w:r>
        <w:rPr>
          <w:rFonts w:ascii="Georgia" w:hAnsi="Georgia" w:eastAsia="Georgia" w:cs="Georgia"/>
          <w:sz w:val="24"/>
          <w:szCs w:val="24"/>
        </w:rPr>
        <w:t xml:space="preserve">ров;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создание комфортной социокультурной среды;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проведение политики защиты несовершеннолетних о</w:t>
      </w:r>
      <w:r>
        <w:rPr>
          <w:rFonts w:ascii="Georgia" w:hAnsi="Georgia" w:eastAsia="Georgia" w:cs="Georgia"/>
          <w:sz w:val="24"/>
          <w:szCs w:val="24"/>
        </w:rPr>
        <w:t xml:space="preserve">т негативного влияния Интернета, обеспечения безопасности в сети Интернет;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проведение нравственно-правового закаливания </w:t>
      </w:r>
      <w:r>
        <w:rPr>
          <w:rFonts w:ascii="Georgia" w:hAnsi="Georgia" w:eastAsia="Georgia" w:cs="Georgia"/>
          <w:sz w:val="24"/>
          <w:szCs w:val="24"/>
        </w:rPr>
        <w:t xml:space="preserve">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формирование у обучающихся здорового образа жизни, обеспече</w:t>
      </w:r>
      <w:r>
        <w:rPr>
          <w:rFonts w:ascii="Georgia" w:hAnsi="Georgia" w:eastAsia="Georgia" w:cs="Georgia"/>
          <w:sz w:val="24"/>
          <w:szCs w:val="24"/>
        </w:rPr>
        <w:t xml:space="preserve">ние безопасных условий, информирование о здоровом стиле жизни;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минимизация негативных последствий деструктивного поведения (например, травли);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организация деятельности, альтернативной деструктивному поведению: познавательной (путешествия, туризм); бросаю</w:t>
      </w:r>
      <w:r>
        <w:rPr>
          <w:rFonts w:ascii="Georgia" w:hAnsi="Georgia" w:eastAsia="Georgia" w:cs="Georgia"/>
          <w:sz w:val="24"/>
          <w:szCs w:val="24"/>
        </w:rPr>
        <w:t xml:space="preserve">щей вызов своим возможностям (спорт, квесты, походы); альтруистической (общественно-полезная и благотворительная деятельность);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формирование культуры общения, ценностного отношения к правилам и социальным нормам;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повышение компетентности и социальной усп</w:t>
      </w:r>
      <w:r>
        <w:rPr>
          <w:rFonts w:ascii="Georgia" w:hAnsi="Georgia" w:eastAsia="Georgia" w:cs="Georgia"/>
          <w:sz w:val="24"/>
          <w:szCs w:val="24"/>
        </w:rPr>
        <w:t xml:space="preserve">ешности личности подростка в значимых для него сферах;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развитие навыков продуктивной саморегуляции;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повышение осознанности собственного поведения;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развитие умений планирования, оценки последствий поведения, обучение продуктивным стратегиям совладания с</w:t>
      </w:r>
      <w:r>
        <w:rPr>
          <w:rFonts w:ascii="Georgia" w:hAnsi="Georgia" w:eastAsia="Georgia" w:cs="Georgia"/>
          <w:sz w:val="24"/>
          <w:szCs w:val="24"/>
        </w:rPr>
        <w:t xml:space="preserve">о стрессом;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 своевременная коррекция нарушенных межличностных отношений;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 активизация личностных ресурсов, обеспечение творческого самовыражения; </w:t>
      </w:r>
      <w:r>
        <w:rPr>
          <w:rFonts w:ascii="Georgia" w:hAnsi="Georgia" w:cs="Georgia"/>
          <w:sz w:val="24"/>
          <w:szCs w:val="24"/>
          <w:highlight w:val="none"/>
        </w:rPr>
      </w:r>
    </w:p>
    <w:p>
      <w:pPr>
        <w:rPr>
          <w:rFonts w:ascii="Georgia" w:hAnsi="Georgia" w:cs="Georgia"/>
          <w:sz w:val="24"/>
          <w:szCs w:val="24"/>
          <w:highlight w:val="none"/>
        </w:rPr>
      </w:pPr>
      <w:r>
        <w:rPr>
          <w:rFonts w:ascii="Georgia" w:hAnsi="Georgia" w:eastAsia="Georgia" w:cs="Georgia"/>
          <w:sz w:val="24"/>
          <w:szCs w:val="24"/>
        </w:rPr>
        <w:t xml:space="preserve"> содействие профессиональному самоопределению, овладению способами и умениями трудовой деятельности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2025-03-21T07:44:21Z</dcterms:modified>
</cp:coreProperties>
</file>